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>
          <w:highlight w:val="yellow"/>
        </w:rPr>
      </w:pPr>
      <w:bookmarkStart w:colFirst="0" w:colLast="0" w:name="_3zxomwzecvrn" w:id="0"/>
      <w:bookmarkEnd w:id="0"/>
      <w:r w:rsidDel="00000000" w:rsidR="00000000" w:rsidRPr="00000000">
        <w:rPr>
          <w:rtl w:val="0"/>
        </w:rPr>
        <w:t xml:space="preserve">Izrađena studija “Polazne osnove za tranziciju ka cirkularnoj ekonomiji u Beloj Crkvi”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Kako bi se sprečilo dalje ugrožavanje životne sredine i racionalizovala eksploatacija prirodnih resursa poslednjih decenija nasuprot modelu linearne ekonomije razvija se model cirkularne ili kružne ekonomije.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Sa idejom da sagleda uslove, potrebe i moguće prepreke u razvoju i primeni ovih novih modela poslovanja i ohrabri lokalne zajednice, javno-komunalna preduzeća, preduzetnike i preduzetnice, mala i srednja preduzeća, udruženja i druge zainteresovane aktere da započnu transformaciju ka cirkularnoj ekonomiji, udruženje "Inženjeri zaštite životne sredine" iz Novog Sada, u sklopu projekta Zeleni inkubator, uradilo je istraživanje u 40 opština i gradova u Republici Srbiji.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6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Bela Crkva je jedna od lokalnih samouprava koja je bila uključena u analizu, a rezultati i preporuke za socioekonomskim razvoj zajednice zasnovanim na principima cirkularne ekonomije objedinjeni su u publikaciji "Polazne osnove za tranziciju ka cirkularnoj ekonomiji u Beloj Crkvi."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opštini Bela Crkva, u kojoj skoro polovina stanovništva živi u seoskoj sredini, pre nekoliko godina u okviru međunarodnog projekta lokalno javno komunalno preduzeće uspešno je organizovalo edukaciju o kućnom kompostiranju.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Kompostiranje organskog otpada iz domaćinstva jedan je od načina kako pojedinci/ke mogu dobiti đubrivo potrebno za uzgoj biljaka u svojoj bašti i u isto vreme smanjiti količinu ukupnog smeća koji generišu i koji završava na deponiji.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Zaključci istraživanja ukazuju, kao i u drugim gradovima i opštinama u Srbiji, da je i u Beloj Crkvi neophodno unaprediti i razviti sistem redovnog praćenja nastanka i tokova otpada što bi omogućilo profilisanje poslovnih modela cirkularne ekonomije, oslonjenih na upotrebu otpada kako bi se kreiralei poslovne šanse.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Takođe, neophodno je i u budućim dokumentima lokalnih javnih politika predvideti mere i aktivnosti kojima bi se stvorili uslovi za razvoj cirkularne ekonomije, a kako su prethodna strateška dokumenta u Beloj Crkvi istekla, stvara se idealna prilika za ugrađivanje principa cirkularne ekonomije i njenih elemenata u lokalne strateške dokumente i planove prilikom obnove starih i izrade novih strateških dokumenata.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Istraživanje u okviru projekta "Zeleni inkubator" sprovedeno je u saradnji sa lokalnim akterima i stručnjacima u oblastima cirkularne ekonomije i upravljanja otpadom. Svaka studija koja je izrađena sadrži kraći edukativni deo, sa osnovnim informacija o cirkularnoj ekonomiji, </w:t>
      </w:r>
      <w:r w:rsidDel="00000000" w:rsidR="00000000" w:rsidRPr="00000000">
        <w:rPr>
          <w:rtl w:val="0"/>
        </w:rPr>
        <w:t xml:space="preserve">zatim analizu strateškog i regulatornog okvira za sprovođenje cirkularne ekonomije od Evropske unije do lokalnog nivoa, i na kraju deo specifičan za konkretnu opštinu ili grad, u kome je dat prikaz socio-ekonomskog i pravno-institucionalnog konteksta, analiza sistema upravljanja industrijskim i komercijalnim otpadom i analiza sistema upravaljanja komunalnim otpadom.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Publikacija "Polazne osnove za tranziciju ka cirkularnoj ekonomiji u </w:t>
      </w:r>
      <w:r w:rsidDel="00000000" w:rsidR="00000000" w:rsidRPr="00000000">
        <w:rPr>
          <w:rtl w:val="0"/>
        </w:rPr>
        <w:t xml:space="preserve">Beloj Crkvi</w:t>
      </w:r>
      <w:r w:rsidDel="00000000" w:rsidR="00000000" w:rsidRPr="00000000">
        <w:rPr>
          <w:rtl w:val="0"/>
        </w:rPr>
        <w:t xml:space="preserve">" dostupna je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zvaničnom sajtu Koalicije 27</w:t>
        </w:r>
      </w:hyperlink>
      <w:r w:rsidDel="00000000" w:rsidR="00000000" w:rsidRPr="00000000">
        <w:rPr>
          <w:rtl w:val="0"/>
        </w:rPr>
        <w:t xml:space="preserve"> i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sajtu udruženja</w:t>
        </w:r>
      </w:hyperlink>
      <w:r w:rsidDel="00000000" w:rsidR="00000000" w:rsidRPr="00000000">
        <w:rPr>
          <w:rtl w:val="0"/>
        </w:rPr>
        <w:t xml:space="preserve"> “Inženjeri zaštite životne sredine” i u njoj lokalna preduzeća, preduzetnici i preduzetnice i ostali zainteresovani mogu pročitati šta je potrebno uraditi ukoliko planiraju da model cirkularne ekonomije implementiraju u svoje poslovanje.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Završna studija koja sublimira rezultate do kojih su istraživački timovi došli tokom skoro trogodišnjeg rada na analizi ukupno 40 gradova i opština, a pre svega mogućnosti i izazova sa kojima se jedinice lokalne samouprave i zainteresovani akteri konkretne zajednice suočavaju kada model cirkularne ekonomije pokušavaju da primene u praksi može se takođe preuzeti </w:t>
      </w:r>
      <w:hyperlink r:id="rId8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na sajtu Koalicije 27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 i sajtu </w:t>
      </w:r>
      <w:hyperlink r:id="rId9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udruženja “Inženjeri zaštite životne sredine”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/>
      </w:pPr>
      <w:r w:rsidDel="00000000" w:rsidR="00000000" w:rsidRPr="00000000">
        <w:rPr>
          <w:i w:val="1"/>
          <w:highlight w:val="white"/>
          <w:rtl w:val="0"/>
        </w:rPr>
        <w:t xml:space="preserve">Projekat “Zeleni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inkubator” sprovodi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Beogradska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otvorena škola, u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saradnji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sa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Mladim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istraživačima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Srbije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i Inženjerima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zaštite životne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sredine, uz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podršku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Evropske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unije.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ctivity4sustainability.org/wp-content/uploads/2022/07/Studija-Polazne-osnove-za-tranziciju-ka-cirkularnoj-ekonomiji-WEB-FINAL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oalicija27.org/wp-content/uploads/2022/05/Studija-o-cirkularnoj-ekonomiji-Bela-Crkva-FINAL.pdf" TargetMode="External"/><Relationship Id="rId7" Type="http://schemas.openxmlformats.org/officeDocument/2006/relationships/hyperlink" Target="https://www.activity4sustainability.org/wp-content/uploads/2022/02/Studija-o-cirkularnoj-ekonomiji-Bela-Crkva-FINAL.pdf" TargetMode="External"/><Relationship Id="rId8" Type="http://schemas.openxmlformats.org/officeDocument/2006/relationships/hyperlink" Target="https://www.koalicija27.org/wp-content/uploads/2022/07/Studija-Polazne-osnove-za-tranziciju-ka-cirkularnoj-ekonomiji-LEKTORISANA-sf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