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BB1" w:rsidRDefault="00950BB1">
      <w:pPr>
        <w:spacing w:after="0"/>
        <w:jc w:val="center"/>
        <w:rPr>
          <w:rFonts w:asciiTheme="majorHAnsi" w:hAnsiTheme="majorHAnsi"/>
          <w:b/>
          <w:bCs/>
          <w:sz w:val="24"/>
          <w:szCs w:val="24"/>
          <w:lang w:val="ro-RO"/>
        </w:rPr>
      </w:pPr>
      <w:bookmarkStart w:id="0" w:name="_GoBack"/>
      <w:bookmarkEnd w:id="0"/>
    </w:p>
    <w:p w:rsidR="00950BB1" w:rsidRDefault="00950BB1">
      <w:pPr>
        <w:spacing w:after="0"/>
        <w:jc w:val="center"/>
        <w:rPr>
          <w:rFonts w:asciiTheme="majorHAnsi" w:hAnsiTheme="majorHAnsi"/>
          <w:b/>
          <w:bCs/>
          <w:sz w:val="24"/>
          <w:szCs w:val="24"/>
          <w:lang w:val="ro-RO"/>
        </w:rPr>
      </w:pPr>
    </w:p>
    <w:p w:rsidR="00144C83" w:rsidRDefault="00950BB1">
      <w:pPr>
        <w:spacing w:after="0"/>
        <w:jc w:val="center"/>
        <w:rPr>
          <w:rFonts w:asciiTheme="majorHAnsi" w:hAnsiTheme="majorHAnsi"/>
          <w:b/>
          <w:bCs/>
          <w:sz w:val="24"/>
          <w:szCs w:val="24"/>
        </w:rPr>
      </w:pPr>
      <w:r>
        <w:rPr>
          <w:rFonts w:asciiTheme="majorHAnsi" w:hAnsiTheme="majorHAnsi"/>
          <w:b/>
          <w:bCs/>
          <w:sz w:val="24"/>
          <w:szCs w:val="24"/>
          <w:lang w:val="ro-RO"/>
        </w:rPr>
        <w:t>Apel public</w:t>
      </w:r>
    </w:p>
    <w:p w:rsidR="00144C83" w:rsidRDefault="00950BB1">
      <w:pPr>
        <w:spacing w:after="0"/>
        <w:jc w:val="center"/>
        <w:rPr>
          <w:rFonts w:asciiTheme="majorHAnsi" w:hAnsiTheme="majorHAnsi"/>
          <w:b/>
          <w:bCs/>
          <w:sz w:val="24"/>
          <w:szCs w:val="24"/>
        </w:rPr>
      </w:pPr>
      <w:r>
        <w:rPr>
          <w:rFonts w:asciiTheme="majorHAnsi" w:hAnsiTheme="majorHAnsi"/>
          <w:b/>
          <w:bCs/>
          <w:sz w:val="24"/>
          <w:szCs w:val="24"/>
          <w:lang w:val="ro-RO"/>
        </w:rPr>
        <w:t xml:space="preserve">pentru  înscrierea  candidaților pentru instructori </w:t>
      </w:r>
    </w:p>
    <w:p w:rsidR="00144C83" w:rsidRDefault="00950BB1">
      <w:pPr>
        <w:spacing w:after="0"/>
        <w:jc w:val="center"/>
        <w:rPr>
          <w:rFonts w:asciiTheme="majorHAnsi" w:hAnsiTheme="majorHAnsi"/>
          <w:b/>
          <w:bCs/>
          <w:sz w:val="24"/>
          <w:szCs w:val="24"/>
        </w:rPr>
      </w:pPr>
      <w:r>
        <w:rPr>
          <w:rFonts w:asciiTheme="majorHAnsi" w:hAnsiTheme="majorHAnsi"/>
          <w:b/>
          <w:bCs/>
          <w:sz w:val="24"/>
          <w:szCs w:val="24"/>
          <w:lang w:val="ro-RO"/>
        </w:rPr>
        <w:t xml:space="preserve"> </w:t>
      </w:r>
    </w:p>
    <w:p w:rsidR="00144C83" w:rsidRDefault="00144C83">
      <w:pPr>
        <w:spacing w:after="0"/>
        <w:jc w:val="center"/>
        <w:rPr>
          <w:rFonts w:asciiTheme="majorHAnsi" w:hAnsiTheme="majorHAnsi"/>
          <w:b/>
          <w:bCs/>
          <w:sz w:val="24"/>
          <w:szCs w:val="24"/>
        </w:rPr>
      </w:pPr>
    </w:p>
    <w:p w:rsidR="00144C83" w:rsidRDefault="00950BB1">
      <w:pPr>
        <w:jc w:val="both"/>
        <w:rPr>
          <w:rFonts w:asciiTheme="majorHAnsi" w:hAnsiTheme="majorHAnsi"/>
          <w:sz w:val="24"/>
          <w:szCs w:val="24"/>
        </w:rPr>
      </w:pPr>
      <w:r>
        <w:rPr>
          <w:rFonts w:asciiTheme="majorHAnsi" w:hAnsiTheme="majorHAnsi"/>
          <w:sz w:val="24"/>
          <w:szCs w:val="24"/>
          <w:lang w:val="ro-RO"/>
        </w:rPr>
        <w:t xml:space="preserve">Institutul Național de Statistică adresează un apel public tuturor candidaților interesați ca în perioada </w:t>
      </w:r>
      <w:r>
        <w:rPr>
          <w:rFonts w:asciiTheme="majorHAnsi" w:hAnsiTheme="majorHAnsi"/>
          <w:b/>
          <w:bCs/>
          <w:sz w:val="24"/>
          <w:szCs w:val="24"/>
          <w:lang w:val="ro-RO"/>
        </w:rPr>
        <w:t xml:space="preserve"> 24 iunie</w:t>
      </w:r>
      <w:r>
        <w:rPr>
          <w:rFonts w:asciiTheme="majorHAnsi" w:hAnsiTheme="majorHAnsi"/>
          <w:sz w:val="24"/>
          <w:szCs w:val="24"/>
          <w:lang w:val="ro-RO"/>
        </w:rPr>
        <w:t xml:space="preserve"> (ora 9.00) - </w:t>
      </w:r>
      <w:r>
        <w:rPr>
          <w:rFonts w:asciiTheme="majorHAnsi" w:hAnsiTheme="majorHAnsi"/>
          <w:b/>
          <w:bCs/>
          <w:sz w:val="24"/>
          <w:szCs w:val="24"/>
          <w:lang w:val="ro-RO"/>
        </w:rPr>
        <w:t>3 iulie</w:t>
      </w:r>
      <w:r>
        <w:rPr>
          <w:rFonts w:asciiTheme="majorHAnsi" w:hAnsiTheme="majorHAnsi"/>
          <w:sz w:val="24"/>
          <w:szCs w:val="24"/>
          <w:lang w:val="ro-RO"/>
        </w:rPr>
        <w:t xml:space="preserve"> </w:t>
      </w:r>
      <w:r>
        <w:rPr>
          <w:rFonts w:asciiTheme="majorHAnsi" w:hAnsiTheme="majorHAnsi"/>
          <w:b/>
          <w:bCs/>
          <w:sz w:val="24"/>
          <w:szCs w:val="24"/>
          <w:lang w:val="ro-RO"/>
        </w:rPr>
        <w:t>2022</w:t>
      </w:r>
      <w:r>
        <w:rPr>
          <w:rFonts w:asciiTheme="majorHAnsi" w:hAnsiTheme="majorHAnsi"/>
          <w:sz w:val="24"/>
          <w:szCs w:val="24"/>
          <w:lang w:val="ro-RO"/>
        </w:rPr>
        <w:t xml:space="preserve"> (până la ora 20.00) să se înscrie pe lista candidaților pentru poziția de </w:t>
      </w:r>
      <w:r>
        <w:rPr>
          <w:rFonts w:asciiTheme="majorHAnsi" w:hAnsiTheme="majorHAnsi"/>
          <w:b/>
          <w:bCs/>
          <w:sz w:val="24"/>
          <w:szCs w:val="24"/>
          <w:lang w:val="ro-RO"/>
        </w:rPr>
        <w:t>instructor</w:t>
      </w:r>
      <w:r>
        <w:rPr>
          <w:rFonts w:asciiTheme="majorHAnsi" w:hAnsiTheme="majorHAnsi"/>
          <w:sz w:val="24"/>
          <w:szCs w:val="24"/>
          <w:lang w:val="ro-RO"/>
        </w:rPr>
        <w:t xml:space="preserve"> în vederea prestării serviciilor aferente </w:t>
      </w:r>
      <w:r>
        <w:rPr>
          <w:rFonts w:asciiTheme="majorHAnsi" w:hAnsiTheme="majorHAnsi"/>
          <w:b/>
          <w:bCs/>
          <w:sz w:val="24"/>
          <w:szCs w:val="24"/>
          <w:lang w:val="ro-RO"/>
        </w:rPr>
        <w:t xml:space="preserve">Recensământului populației, gospodăriilor și locuințelor 2022.  </w:t>
      </w:r>
    </w:p>
    <w:p w:rsidR="00144C83" w:rsidRDefault="00950BB1">
      <w:pPr>
        <w:jc w:val="both"/>
        <w:rPr>
          <w:rFonts w:asciiTheme="majorHAnsi" w:hAnsiTheme="majorHAnsi" w:cstheme="majorHAnsi"/>
          <w:sz w:val="24"/>
          <w:szCs w:val="24"/>
        </w:rPr>
      </w:pPr>
      <w:r>
        <w:rPr>
          <w:rFonts w:asciiTheme="majorHAnsi" w:hAnsiTheme="majorHAnsi"/>
          <w:sz w:val="24"/>
          <w:szCs w:val="24"/>
          <w:lang w:val="ro-RO"/>
        </w:rPr>
        <w:t xml:space="preserve">Candidații interesați se pot înscrie exclusiv prin completarea unui </w:t>
      </w:r>
      <w:r>
        <w:rPr>
          <w:rFonts w:asciiTheme="majorHAnsi" w:hAnsiTheme="majorHAnsi"/>
          <w:b/>
          <w:bCs/>
          <w:sz w:val="24"/>
          <w:szCs w:val="24"/>
          <w:lang w:val="ro-RO"/>
        </w:rPr>
        <w:t>formular digital</w:t>
      </w:r>
      <w:r>
        <w:rPr>
          <w:rFonts w:asciiTheme="majorHAnsi" w:hAnsiTheme="majorHAnsi"/>
          <w:sz w:val="24"/>
          <w:szCs w:val="24"/>
          <w:lang w:val="ro-RO"/>
        </w:rPr>
        <w:t xml:space="preserve"> pe site-urile de internet ale Institutultui Național de Statistică  </w:t>
      </w:r>
      <w:hyperlink r:id="rId7">
        <w:r>
          <w:rPr>
            <w:rStyle w:val="Hyperlink"/>
            <w:rFonts w:asciiTheme="majorHAnsi" w:hAnsiTheme="majorHAnsi" w:cstheme="majorHAnsi"/>
            <w:sz w:val="24"/>
            <w:szCs w:val="24"/>
            <w:lang w:val="sr-Latn-RS"/>
          </w:rPr>
          <w:t>www.stat.gov.rs</w:t>
        </w:r>
      </w:hyperlink>
      <w:r>
        <w:rPr>
          <w:rStyle w:val="Hyperlink"/>
          <w:rFonts w:asciiTheme="majorHAnsi" w:hAnsiTheme="majorHAnsi" w:cstheme="majorHAnsi"/>
          <w:sz w:val="24"/>
          <w:szCs w:val="24"/>
          <w:lang w:val="sr-Latn-RS"/>
        </w:rPr>
        <w:t xml:space="preserve"> </w:t>
      </w:r>
      <w:r>
        <w:rPr>
          <w:rFonts w:asciiTheme="majorHAnsi" w:hAnsiTheme="majorHAnsi"/>
          <w:sz w:val="24"/>
          <w:szCs w:val="24"/>
          <w:lang w:val="ro-RO"/>
        </w:rPr>
        <w:t>și</w:t>
      </w:r>
      <w:r>
        <w:rPr>
          <w:rFonts w:asciiTheme="majorHAnsi" w:hAnsiTheme="majorHAnsi"/>
          <w:sz w:val="24"/>
          <w:szCs w:val="24"/>
        </w:rPr>
        <w:t xml:space="preserve"> </w:t>
      </w:r>
      <w:hyperlink r:id="rId8">
        <w:r>
          <w:rPr>
            <w:rStyle w:val="Hyperlink"/>
            <w:rFonts w:asciiTheme="majorHAnsi" w:hAnsiTheme="majorHAnsi" w:cstheme="majorHAnsi"/>
            <w:sz w:val="24"/>
            <w:szCs w:val="24"/>
            <w:lang w:val="sr-Latn-RS"/>
          </w:rPr>
          <w:t>popis2022.stat.gov.rs</w:t>
        </w:r>
      </w:hyperlink>
      <w:r>
        <w:rPr>
          <w:rStyle w:val="Hyperlink"/>
          <w:rFonts w:asciiTheme="majorHAnsi" w:hAnsiTheme="majorHAnsi" w:cstheme="majorHAnsi"/>
          <w:sz w:val="24"/>
          <w:szCs w:val="24"/>
          <w:lang w:val="sr-Latn-RS"/>
        </w:rPr>
        <w:t xml:space="preserve">. </w:t>
      </w:r>
    </w:p>
    <w:p w:rsidR="00144C83" w:rsidRDefault="00950BB1">
      <w:pPr>
        <w:spacing w:after="120" w:line="240" w:lineRule="auto"/>
        <w:rPr>
          <w:rFonts w:asciiTheme="majorHAnsi" w:hAnsiTheme="majorHAnsi" w:cstheme="majorHAnsi"/>
          <w:b/>
          <w:sz w:val="24"/>
          <w:szCs w:val="24"/>
        </w:rPr>
      </w:pPr>
      <w:r>
        <w:rPr>
          <w:rFonts w:asciiTheme="majorHAnsi" w:hAnsiTheme="majorHAnsi" w:cstheme="majorHAnsi"/>
          <w:b/>
          <w:sz w:val="24"/>
          <w:szCs w:val="24"/>
          <w:lang w:val="ro-RO"/>
        </w:rPr>
        <w:t xml:space="preserve">Sarcinile instructorilor </w:t>
      </w:r>
    </w:p>
    <w:p w:rsidR="00144C83" w:rsidRDefault="00950BB1">
      <w:pPr>
        <w:spacing w:before="120" w:after="120"/>
        <w:jc w:val="both"/>
      </w:pPr>
      <w:r>
        <w:rPr>
          <w:lang w:val="ro-RO"/>
        </w:rPr>
        <w:t>Instructorii au obligația de a participa la sesiunea de instruire care durează cinci zile, să învețe metodologia Recensământului și utilizarea aplicațiilor pentru colectarea datelor și monitorizare, să efectueze o sesiune de cinci zile de instruire cu candidații pentru recenzori, și să urmărească cursul recensământului pe teritoriul pentru care sunt responsabili, să controleze activitatea recenzorilor care le-au fost repartizați, să le dea indicațiile necesare și să-i ajute în activitatea lor și la gestionarea situațiilor dificile apărute pe durata procesului de recenzare. Un instructor, în medie,  este responsabil pentru monitorizarea activității a  șapte recenzori.</w:t>
      </w:r>
    </w:p>
    <w:p w:rsidR="00144C83" w:rsidRDefault="00950BB1">
      <w:pPr>
        <w:spacing w:after="120" w:line="240" w:lineRule="auto"/>
        <w:rPr>
          <w:b/>
        </w:rPr>
      </w:pPr>
      <w:r>
        <w:rPr>
          <w:b/>
          <w:bCs/>
          <w:lang w:val="ro-RO"/>
        </w:rPr>
        <w:t xml:space="preserve">Durata contractului </w:t>
      </w:r>
    </w:p>
    <w:p w:rsidR="00144C83" w:rsidRDefault="00950BB1">
      <w:r>
        <w:rPr>
          <w:lang w:val="ro-RO"/>
        </w:rPr>
        <w:t xml:space="preserve">Din 23 august pâna la 31 octombrie 2022. </w:t>
      </w:r>
    </w:p>
    <w:p w:rsidR="00144C83" w:rsidRDefault="00950BB1">
      <w:pPr>
        <w:spacing w:after="103"/>
        <w:jc w:val="both"/>
        <w:rPr>
          <w:rFonts w:ascii="Calibri" w:eastAsia="Calibri" w:hAnsi="Calibri" w:cs="Times New Roman"/>
        </w:rPr>
      </w:pPr>
      <w:r>
        <w:rPr>
          <w:rFonts w:eastAsia="Calibri" w:cs="Times New Roman"/>
          <w:u w:val="single"/>
          <w:lang w:val="ro-RO"/>
        </w:rPr>
        <w:t>Mențiune</w:t>
      </w:r>
      <w:r>
        <w:rPr>
          <w:rFonts w:eastAsia="Calibri" w:cs="Times New Roman"/>
          <w:u w:val="single"/>
        </w:rPr>
        <w:t>:</w:t>
      </w:r>
      <w:r>
        <w:rPr>
          <w:rFonts w:eastAsia="Calibri" w:cs="Times New Roman"/>
        </w:rPr>
        <w:t xml:space="preserve"> </w:t>
      </w:r>
      <w:r>
        <w:rPr>
          <w:rFonts w:eastAsia="Calibri" w:cs="Times New Roman"/>
          <w:lang w:val="ro-RO"/>
        </w:rPr>
        <w:t xml:space="preserve">în perioada instruirii candidaților pentru recenzori, pregătirii pentru activitatea pe teren și în cursul realizării Recensământului pe teren, redistribuirea orarului de lucru se face conform Planului de activități și poate include munca și pe perioada de weekend (sfârșit de săptămână). </w:t>
      </w:r>
    </w:p>
    <w:p w:rsidR="00144C83" w:rsidRDefault="00950BB1">
      <w:pPr>
        <w:spacing w:after="120" w:line="240" w:lineRule="auto"/>
        <w:rPr>
          <w:b/>
        </w:rPr>
      </w:pPr>
      <w:r>
        <w:rPr>
          <w:b/>
          <w:lang w:val="ro-RO"/>
        </w:rPr>
        <w:t xml:space="preserve">Condițiile generale pe care trebuie să le îndeplinească un candidat: </w:t>
      </w:r>
    </w:p>
    <w:p w:rsidR="00144C83" w:rsidRDefault="00950BB1">
      <w:pPr>
        <w:pStyle w:val="ListParagraph"/>
        <w:numPr>
          <w:ilvl w:val="0"/>
          <w:numId w:val="2"/>
        </w:numPr>
      </w:pPr>
      <w:r>
        <w:rPr>
          <w:lang w:val="ro-RO"/>
        </w:rPr>
        <w:t xml:space="preserve">cetățenie a Republicii Serbia; </w:t>
      </w:r>
    </w:p>
    <w:p w:rsidR="00144C83" w:rsidRDefault="00950BB1">
      <w:pPr>
        <w:pStyle w:val="ListParagraph"/>
        <w:numPr>
          <w:ilvl w:val="0"/>
          <w:numId w:val="2"/>
        </w:numPr>
      </w:pPr>
      <w:r>
        <w:rPr>
          <w:lang w:val="ro-RO"/>
        </w:rPr>
        <w:t>domiciliul sau reședință în Republica Serbia</w:t>
      </w:r>
      <w:r>
        <w:t>;</w:t>
      </w:r>
    </w:p>
    <w:p w:rsidR="00144C83" w:rsidRDefault="00950BB1">
      <w:pPr>
        <w:pStyle w:val="ListParagraph"/>
        <w:numPr>
          <w:ilvl w:val="0"/>
          <w:numId w:val="2"/>
        </w:numPr>
      </w:pPr>
      <w:r>
        <w:rPr>
          <w:lang w:val="ro-RO"/>
        </w:rPr>
        <w:t xml:space="preserve">vârsta minimă de 18 ani la data completării cererii; </w:t>
      </w:r>
    </w:p>
    <w:p w:rsidR="00144C83" w:rsidRDefault="00950BB1">
      <w:pPr>
        <w:pStyle w:val="ListParagraph"/>
        <w:numPr>
          <w:ilvl w:val="0"/>
          <w:numId w:val="2"/>
        </w:numPr>
      </w:pPr>
      <w:r>
        <w:rPr>
          <w:lang w:val="ro-RO"/>
        </w:rPr>
        <w:t>minim studii medii de patru ani absolvite (diplomă absolvent liceu)</w:t>
      </w:r>
      <w:r>
        <w:t>;</w:t>
      </w:r>
    </w:p>
    <w:p w:rsidR="00144C83" w:rsidRDefault="00950BB1">
      <w:pPr>
        <w:pStyle w:val="ListParagraph"/>
        <w:numPr>
          <w:ilvl w:val="0"/>
          <w:numId w:val="2"/>
        </w:numPr>
      </w:pPr>
      <w:r>
        <w:rPr>
          <w:lang w:val="ro-RO"/>
        </w:rPr>
        <w:t xml:space="preserve">să nu fie condamnat la pedeapsa închisorii de cel puțin șase luni,  împotriva candidatului să nu fie deschisă nicio anchetă și împotriva candidatului să nu fie deschisă nicio acțiune penală. </w:t>
      </w:r>
    </w:p>
    <w:p w:rsidR="00144C83" w:rsidRDefault="00950BB1">
      <w:pPr>
        <w:spacing w:after="120" w:line="240" w:lineRule="auto"/>
        <w:rPr>
          <w:b/>
        </w:rPr>
      </w:pPr>
      <w:r>
        <w:rPr>
          <w:b/>
          <w:lang w:val="ro-RO"/>
        </w:rPr>
        <w:t>Condițiile specifice pe care candidatul trebuie să le îndeplinească:</w:t>
      </w:r>
    </w:p>
    <w:p w:rsidR="00144C83" w:rsidRDefault="00950BB1">
      <w:pPr>
        <w:pStyle w:val="ListParagraph"/>
        <w:numPr>
          <w:ilvl w:val="0"/>
          <w:numId w:val="3"/>
        </w:numPr>
      </w:pPr>
      <w:r>
        <w:rPr>
          <w:lang w:val="ro-RO"/>
        </w:rPr>
        <w:t xml:space="preserve">competențe informatice (MS Office, internet) - este prevăzută testarea candidaților; </w:t>
      </w:r>
    </w:p>
    <w:p w:rsidR="00144C83" w:rsidRDefault="00950BB1">
      <w:pPr>
        <w:pStyle w:val="ListParagraph"/>
        <w:numPr>
          <w:ilvl w:val="0"/>
          <w:numId w:val="3"/>
        </w:numPr>
      </w:pPr>
      <w:r>
        <w:rPr>
          <w:lang w:val="ro-RO"/>
        </w:rPr>
        <w:t xml:space="preserve">posibilitatea de utilizare a calculatorului personal și a accesului la internet pe perioada angajării. </w:t>
      </w:r>
    </w:p>
    <w:p w:rsidR="00950BB1" w:rsidRDefault="00950BB1">
      <w:pPr>
        <w:rPr>
          <w:lang w:val="ro-RO"/>
        </w:rPr>
      </w:pPr>
    </w:p>
    <w:p w:rsidR="00950BB1" w:rsidRDefault="00950BB1">
      <w:pPr>
        <w:rPr>
          <w:lang w:val="ro-RO"/>
        </w:rPr>
      </w:pPr>
    </w:p>
    <w:p w:rsidR="00144C83" w:rsidRDefault="00950BB1">
      <w:r>
        <w:rPr>
          <w:lang w:val="ro-RO"/>
        </w:rPr>
        <w:lastRenderedPageBreak/>
        <w:t xml:space="preserve">Cu candidații aleși se încheie: </w:t>
      </w:r>
    </w:p>
    <w:p w:rsidR="00144C83" w:rsidRDefault="00950BB1">
      <w:pPr>
        <w:pStyle w:val="ListParagraph"/>
        <w:numPr>
          <w:ilvl w:val="0"/>
          <w:numId w:val="1"/>
        </w:numPr>
      </w:pPr>
      <w:r>
        <w:rPr>
          <w:b/>
          <w:lang w:val="ro-RO"/>
        </w:rPr>
        <w:t xml:space="preserve">Contract pe locuri de muncă temporare și ocazionale </w:t>
      </w:r>
      <w:r>
        <w:rPr>
          <w:lang w:val="ro-RO"/>
        </w:rPr>
        <w:t>(șomeri, angajați cu fracțiune de normă, pensionari pentru limită de vârstă) sau</w:t>
      </w:r>
    </w:p>
    <w:p w:rsidR="00144C83" w:rsidRDefault="00950BB1">
      <w:pPr>
        <w:pStyle w:val="ListParagraph"/>
        <w:numPr>
          <w:ilvl w:val="0"/>
          <w:numId w:val="1"/>
        </w:numPr>
      </w:pPr>
      <w:r>
        <w:rPr>
          <w:b/>
          <w:lang w:val="ro-RO"/>
        </w:rPr>
        <w:t xml:space="preserve">Contract de muncă suplimentară </w:t>
      </w:r>
      <w:r>
        <w:rPr>
          <w:lang w:val="ro-RO"/>
        </w:rPr>
        <w:t xml:space="preserve">(persoane angajate cu normă întreagă de un alt angajator, respectiv al căror angajator </w:t>
      </w:r>
      <w:r>
        <w:rPr>
          <w:u w:val="single"/>
          <w:lang w:val="ro-RO"/>
        </w:rPr>
        <w:t xml:space="preserve">nu este </w:t>
      </w:r>
      <w:r>
        <w:rPr>
          <w:lang w:val="ro-RO"/>
        </w:rPr>
        <w:t>Republica Serbia)</w:t>
      </w:r>
    </w:p>
    <w:p w:rsidR="00144C83" w:rsidRDefault="00950BB1" w:rsidP="00950BB1">
      <w:pPr>
        <w:jc w:val="both"/>
      </w:pPr>
      <w:r>
        <w:rPr>
          <w:rFonts w:eastAsia="Times New Roman" w:cstheme="minorHAnsi"/>
          <w:b/>
          <w:bCs/>
          <w:spacing w:val="-4"/>
          <w:lang w:val="ro-RO"/>
        </w:rPr>
        <w:t xml:space="preserve">MENȚIUNE  IMPORTANTĂ: </w:t>
      </w:r>
      <w:r>
        <w:rPr>
          <w:rFonts w:eastAsia="Times New Roman" w:cstheme="minorHAnsi"/>
          <w:spacing w:val="-4"/>
          <w:lang w:val="ro-RO"/>
        </w:rPr>
        <w:t>Institutul nu se consideră responsabil  pentru eventuala pierdere a dreptului persoanei încadrate în muncă, care poate interveni ca urmare a schimbării statutului său de muncă și a realizării compensației pentru muncă (ex: suspendarea plății pensiei familiale, ajutorului de șomaj etc. ).</w:t>
      </w:r>
    </w:p>
    <w:p w:rsidR="00144C83" w:rsidRDefault="00144C83">
      <w:pPr>
        <w:rPr>
          <w:rFonts w:eastAsia="Times New Roman" w:cstheme="minorHAnsi"/>
          <w:spacing w:val="-4"/>
          <w:lang w:val="sr-Latn-RS"/>
        </w:rPr>
      </w:pPr>
    </w:p>
    <w:p w:rsidR="00144C83" w:rsidRDefault="00144C83"/>
    <w:sectPr w:rsidR="00144C83">
      <w:headerReference w:type="default" r:id="rId9"/>
      <w:pgSz w:w="12240" w:h="15840"/>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BB1" w:rsidRDefault="00950BB1" w:rsidP="00950BB1">
      <w:pPr>
        <w:spacing w:after="0" w:line="240" w:lineRule="auto"/>
      </w:pPr>
      <w:r>
        <w:separator/>
      </w:r>
    </w:p>
  </w:endnote>
  <w:endnote w:type="continuationSeparator" w:id="0">
    <w:p w:rsidR="00950BB1" w:rsidRDefault="00950BB1" w:rsidP="00950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BB1" w:rsidRDefault="00950BB1" w:rsidP="00950BB1">
      <w:pPr>
        <w:spacing w:after="0" w:line="240" w:lineRule="auto"/>
      </w:pPr>
      <w:r>
        <w:separator/>
      </w:r>
    </w:p>
  </w:footnote>
  <w:footnote w:type="continuationSeparator" w:id="0">
    <w:p w:rsidR="00950BB1" w:rsidRDefault="00950BB1" w:rsidP="00950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BB1" w:rsidRDefault="00950BB1">
    <w:pPr>
      <w:pStyle w:val="Header"/>
    </w:pPr>
  </w:p>
  <w:p w:rsidR="00950BB1" w:rsidRDefault="00950BB1">
    <w:pPr>
      <w:pStyle w:val="Header"/>
    </w:pPr>
    <w:r w:rsidRPr="00950BB1">
      <w:rPr>
        <w:noProof/>
      </w:rPr>
      <w:drawing>
        <wp:anchor distT="0" distB="0" distL="114300" distR="114300" simplePos="0" relativeHeight="251660288" behindDoc="0" locked="0" layoutInCell="1" allowOverlap="1" wp14:anchorId="533F3F40" wp14:editId="3C6A524B">
          <wp:simplePos x="0" y="0"/>
          <wp:positionH relativeFrom="column">
            <wp:posOffset>0</wp:posOffset>
          </wp:positionH>
          <wp:positionV relativeFrom="paragraph">
            <wp:posOffset>188595</wp:posOffset>
          </wp:positionV>
          <wp:extent cx="1049655" cy="361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9655" cy="361950"/>
                  </a:xfrm>
                  <a:prstGeom prst="rect">
                    <a:avLst/>
                  </a:prstGeom>
                </pic:spPr>
              </pic:pic>
            </a:graphicData>
          </a:graphic>
          <wp14:sizeRelH relativeFrom="page">
            <wp14:pctWidth>0</wp14:pctWidth>
          </wp14:sizeRelH>
          <wp14:sizeRelV relativeFrom="page">
            <wp14:pctHeight>0</wp14:pctHeight>
          </wp14:sizeRelV>
        </wp:anchor>
      </w:drawing>
    </w:r>
    <w:r w:rsidRPr="00950BB1">
      <w:rPr>
        <w:noProof/>
      </w:rPr>
      <w:drawing>
        <wp:anchor distT="0" distB="0" distL="114300" distR="114300" simplePos="0" relativeHeight="251659264" behindDoc="1" locked="0" layoutInCell="1" allowOverlap="1" wp14:anchorId="33EB14F8" wp14:editId="5C9032E0">
          <wp:simplePos x="0" y="0"/>
          <wp:positionH relativeFrom="column">
            <wp:posOffset>2309495</wp:posOffset>
          </wp:positionH>
          <wp:positionV relativeFrom="paragraph">
            <wp:posOffset>107950</wp:posOffset>
          </wp:positionV>
          <wp:extent cx="1011555" cy="523875"/>
          <wp:effectExtent l="0" t="0" r="0" b="9525"/>
          <wp:wrapTight wrapText="bothSides">
            <wp:wrapPolygon edited="0">
              <wp:start x="0" y="0"/>
              <wp:lineTo x="0" y="21207"/>
              <wp:lineTo x="21153" y="21207"/>
              <wp:lineTo x="21153"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11555" cy="523875"/>
                  </a:xfrm>
                  <a:prstGeom prst="rect">
                    <a:avLst/>
                  </a:prstGeom>
                </pic:spPr>
              </pic:pic>
            </a:graphicData>
          </a:graphic>
          <wp14:sizeRelH relativeFrom="margin">
            <wp14:pctWidth>0</wp14:pctWidth>
          </wp14:sizeRelH>
          <wp14:sizeRelV relativeFrom="margin">
            <wp14:pctHeight>0</wp14:pctHeight>
          </wp14:sizeRelV>
        </wp:anchor>
      </w:drawing>
    </w:r>
    <w:r w:rsidRPr="00950BB1">
      <w:rPr>
        <w:noProof/>
      </w:rPr>
      <w:drawing>
        <wp:anchor distT="0" distB="0" distL="114300" distR="114300" simplePos="0" relativeHeight="251661312" behindDoc="1" locked="0" layoutInCell="1" allowOverlap="1" wp14:anchorId="1EF4A08F" wp14:editId="29C0532F">
          <wp:simplePos x="0" y="0"/>
          <wp:positionH relativeFrom="column">
            <wp:posOffset>4580890</wp:posOffset>
          </wp:positionH>
          <wp:positionV relativeFrom="paragraph">
            <wp:posOffset>140970</wp:posOffset>
          </wp:positionV>
          <wp:extent cx="1066800" cy="457200"/>
          <wp:effectExtent l="0" t="0" r="0" b="0"/>
          <wp:wrapTight wrapText="bothSides">
            <wp:wrapPolygon edited="0">
              <wp:start x="0" y="0"/>
              <wp:lineTo x="0" y="20700"/>
              <wp:lineTo x="21214" y="20700"/>
              <wp:lineTo x="21214" y="0"/>
              <wp:lineTo x="0" y="0"/>
            </wp:wrapPolygon>
          </wp:wrapTight>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6800"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15B"/>
    <w:multiLevelType w:val="multilevel"/>
    <w:tmpl w:val="FEBAC368"/>
    <w:lvl w:ilvl="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05B21EE"/>
    <w:multiLevelType w:val="multilevel"/>
    <w:tmpl w:val="C5804900"/>
    <w:lvl w:ilvl="0">
      <w:start w:val="1"/>
      <w:numFmt w:val="bullet"/>
      <w:lvlText w:val="►"/>
      <w:lvlJc w:val="left"/>
      <w:pPr>
        <w:ind w:left="720" w:hanging="360"/>
      </w:pPr>
      <w:rPr>
        <w:rFonts w:ascii="Courier New" w:hAnsi="Courier New" w:cs="Courier New" w:hint="default"/>
        <w:color w:val="333333"/>
        <w:sz w:val="12"/>
        <w:szCs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3150E85"/>
    <w:multiLevelType w:val="multilevel"/>
    <w:tmpl w:val="6D56E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E0D0E4B"/>
    <w:multiLevelType w:val="multilevel"/>
    <w:tmpl w:val="EBDAA0E6"/>
    <w:lvl w:ilvl="0">
      <w:start w:val="1"/>
      <w:numFmt w:val="bullet"/>
      <w:lvlText w:val="►"/>
      <w:lvlJc w:val="left"/>
      <w:pPr>
        <w:ind w:left="720" w:hanging="360"/>
      </w:pPr>
      <w:rPr>
        <w:rFonts w:ascii="Courier New" w:hAnsi="Courier New" w:cs="Courier New" w:hint="default"/>
        <w:color w:val="333333"/>
        <w:sz w:val="12"/>
        <w:szCs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83"/>
    <w:rsid w:val="00144C83"/>
    <w:rsid w:val="00950BB1"/>
    <w:rsid w:val="00E009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7D7CF11-0321-4C9B-9137-A6A32EEA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BE"/>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0BE"/>
    <w:rPr>
      <w:color w:val="0563C1" w:themeColor="hyperlink"/>
      <w:u w:val="single"/>
    </w:rPr>
  </w:style>
  <w:style w:type="character" w:customStyle="1" w:styleId="BalloonTextChar">
    <w:name w:val="Balloon Text Char"/>
    <w:basedOn w:val="DefaultParagraphFont"/>
    <w:link w:val="BalloonText"/>
    <w:uiPriority w:val="99"/>
    <w:semiHidden/>
    <w:qFormat/>
    <w:rsid w:val="00E14489"/>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ListParagraph">
    <w:name w:val="List Paragraph"/>
    <w:basedOn w:val="Normal"/>
    <w:uiPriority w:val="34"/>
    <w:qFormat/>
    <w:rsid w:val="00F870BE"/>
    <w:pPr>
      <w:ind w:left="720"/>
      <w:contextualSpacing/>
    </w:pPr>
  </w:style>
  <w:style w:type="paragraph" w:styleId="BalloonText">
    <w:name w:val="Balloon Text"/>
    <w:basedOn w:val="Normal"/>
    <w:link w:val="BalloonTextChar"/>
    <w:uiPriority w:val="99"/>
    <w:semiHidden/>
    <w:unhideWhenUsed/>
    <w:qFormat/>
    <w:rsid w:val="00E14489"/>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950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BB1"/>
    <w:rPr>
      <w:sz w:val="22"/>
    </w:rPr>
  </w:style>
  <w:style w:type="paragraph" w:styleId="Footer">
    <w:name w:val="footer"/>
    <w:basedOn w:val="Normal"/>
    <w:link w:val="FooterChar"/>
    <w:uiPriority w:val="99"/>
    <w:unhideWhenUsed/>
    <w:rsid w:val="00950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BB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opis2022.stat.gov.rs/" TargetMode="External"/><Relationship Id="rId3" Type="http://schemas.openxmlformats.org/officeDocument/2006/relationships/settings" Target="settings.xml"/><Relationship Id="rId7" Type="http://schemas.openxmlformats.org/officeDocument/2006/relationships/hyperlink" Target="http://www.stat.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Jovanovic</dc:creator>
  <dc:description/>
  <cp:lastModifiedBy>Aleksandra Jovanovic</cp:lastModifiedBy>
  <cp:revision>30</cp:revision>
  <dcterms:created xsi:type="dcterms:W3CDTF">2022-06-10T15:43:00Z</dcterms:created>
  <dcterms:modified xsi:type="dcterms:W3CDTF">2022-06-22T10:15:00Z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ies>
</file>